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D" w:rsidRDefault="00B6061D" w:rsidP="00B15428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86" w:rsidRDefault="006E5786" w:rsidP="00B15428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Annexure- III</w:t>
      </w:r>
    </w:p>
    <w:p w:rsidR="00B15428" w:rsidRDefault="00B15428" w:rsidP="00B15428">
      <w:pPr>
        <w:ind w:left="-990" w:right="-12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2B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for </w:t>
      </w:r>
      <w:r w:rsidRPr="00901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submitting the quarterly financial </w:t>
      </w:r>
      <w:r w:rsidRPr="00B15428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 by companies eligible for alternative format</w:t>
      </w:r>
    </w:p>
    <w:p w:rsidR="00C33616" w:rsidRPr="009012BE" w:rsidRDefault="00C33616" w:rsidP="00B15428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83C" w:rsidRPr="00C33616" w:rsidRDefault="00C33616" w:rsidP="00C33616">
      <w:pPr>
        <w:ind w:right="50"/>
        <w:jc w:val="right"/>
        <w:rPr>
          <w:rFonts w:ascii="Times New Roman" w:hAnsi="Times New Roman" w:cs="Times New Roman"/>
        </w:rPr>
      </w:pPr>
      <w:proofErr w:type="gramStart"/>
      <w:r w:rsidRPr="00C33616">
        <w:rPr>
          <w:rFonts w:ascii="Times New Roman" w:hAnsi="Times New Roman" w:cs="Times New Roman"/>
        </w:rPr>
        <w:t>( Rs</w:t>
      </w:r>
      <w:proofErr w:type="gramEnd"/>
      <w:r w:rsidRPr="00C33616">
        <w:rPr>
          <w:rFonts w:ascii="Times New Roman" w:hAnsi="Times New Roman" w:cs="Times New Roman"/>
        </w:rPr>
        <w:t xml:space="preserve"> In……)</w:t>
      </w:r>
    </w:p>
    <w:tbl>
      <w:tblPr>
        <w:tblStyle w:val="TableGrid"/>
        <w:tblW w:w="12060" w:type="dxa"/>
        <w:tblInd w:w="-702" w:type="dxa"/>
        <w:tblLayout w:type="fixed"/>
        <w:tblLook w:val="04A0"/>
      </w:tblPr>
      <w:tblGrid>
        <w:gridCol w:w="471"/>
        <w:gridCol w:w="3219"/>
        <w:gridCol w:w="1127"/>
        <w:gridCol w:w="1310"/>
        <w:gridCol w:w="1490"/>
        <w:gridCol w:w="1434"/>
        <w:gridCol w:w="1521"/>
        <w:gridCol w:w="1488"/>
      </w:tblGrid>
      <w:tr w:rsidR="00B7305D" w:rsidTr="00B7305D">
        <w:tc>
          <w:tcPr>
            <w:tcW w:w="471" w:type="dxa"/>
          </w:tcPr>
          <w:p w:rsidR="00C33616" w:rsidRPr="00C33616" w:rsidRDefault="00B15428" w:rsidP="00B15428">
            <w:pPr>
              <w:ind w:right="-67"/>
              <w:rPr>
                <w:b/>
              </w:rPr>
            </w:pPr>
            <w:r w:rsidRPr="00C33616">
              <w:rPr>
                <w:b/>
              </w:rPr>
              <w:t>S.</w:t>
            </w:r>
          </w:p>
          <w:p w:rsidR="00B15428" w:rsidRPr="00C33616" w:rsidRDefault="00B15428" w:rsidP="00B15428">
            <w:pPr>
              <w:ind w:right="-67"/>
              <w:rPr>
                <w:b/>
              </w:rPr>
            </w:pPr>
            <w:r w:rsidRPr="00C33616">
              <w:rPr>
                <w:b/>
              </w:rPr>
              <w:t>No</w:t>
            </w:r>
            <w:r w:rsidR="00C33616" w:rsidRPr="00C33616">
              <w:rPr>
                <w:b/>
              </w:rPr>
              <w:t>.</w:t>
            </w:r>
          </w:p>
        </w:tc>
        <w:tc>
          <w:tcPr>
            <w:tcW w:w="3219" w:type="dxa"/>
          </w:tcPr>
          <w:p w:rsidR="00B15428" w:rsidRPr="00C33616" w:rsidRDefault="00B15428" w:rsidP="00B15428">
            <w:pPr>
              <w:tabs>
                <w:tab w:val="center" w:pos="0"/>
                <w:tab w:val="center" w:pos="2314"/>
                <w:tab w:val="center" w:pos="2849"/>
              </w:tabs>
              <w:ind w:left="13050" w:right="-1120" w:hanging="12798"/>
              <w:jc w:val="left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127" w:type="dxa"/>
          </w:tcPr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3 months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ended </w:t>
            </w:r>
          </w:p>
          <w:p w:rsidR="00B7305D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10" w:type="dxa"/>
          </w:tcPr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Preceding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3 months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ended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0" w:type="dxa"/>
          </w:tcPr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Corresponding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3  months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ended in the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previous year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34" w:type="dxa"/>
          </w:tcPr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Year to date </w:t>
            </w:r>
          </w:p>
          <w:p w:rsidR="00C33616" w:rsidRPr="00C33616" w:rsidRDefault="00C33616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F</w:t>
            </w:r>
            <w:r w:rsidR="00B15428" w:rsidRPr="00C33616">
              <w:rPr>
                <w:rFonts w:ascii="Times New Roman" w:hAnsi="Times New Roman" w:cs="Times New Roman"/>
                <w:b/>
              </w:rPr>
              <w:t>igures</w:t>
            </w:r>
            <w:r w:rsidRPr="00C33616">
              <w:rPr>
                <w:rFonts w:ascii="Times New Roman" w:hAnsi="Times New Roman" w:cs="Times New Roman"/>
                <w:b/>
              </w:rPr>
              <w:t xml:space="preserve"> f</w:t>
            </w:r>
            <w:r w:rsidR="00B15428" w:rsidRPr="00C33616">
              <w:rPr>
                <w:rFonts w:ascii="Times New Roman" w:hAnsi="Times New Roman" w:cs="Times New Roman"/>
                <w:b/>
              </w:rPr>
              <w:t xml:space="preserve">or </w:t>
            </w:r>
          </w:p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current period</w:t>
            </w:r>
            <w:r w:rsidR="00C33616" w:rsidRPr="00C336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ended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21" w:type="dxa"/>
          </w:tcPr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Year to date</w:t>
            </w:r>
          </w:p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figures for </w:t>
            </w:r>
          </w:p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the previous</w:t>
            </w:r>
          </w:p>
          <w:p w:rsidR="00C33616" w:rsidRPr="00C33616" w:rsidRDefault="00C33616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</w:t>
            </w:r>
            <w:r w:rsidR="00B15428" w:rsidRPr="00C33616">
              <w:rPr>
                <w:rFonts w:ascii="Times New Roman" w:hAnsi="Times New Roman" w:cs="Times New Roman"/>
                <w:b/>
              </w:rPr>
              <w:t xml:space="preserve">year ended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Previous year </w:t>
            </w:r>
          </w:p>
          <w:p w:rsidR="00C33616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 xml:space="preserve"> </w:t>
            </w:r>
            <w:r w:rsidR="00C33616" w:rsidRPr="00C33616">
              <w:rPr>
                <w:rFonts w:ascii="Times New Roman" w:hAnsi="Times New Roman" w:cs="Times New Roman"/>
                <w:b/>
              </w:rPr>
              <w:t>e</w:t>
            </w:r>
            <w:r w:rsidRPr="00C33616">
              <w:rPr>
                <w:rFonts w:ascii="Times New Roman" w:hAnsi="Times New Roman" w:cs="Times New Roman"/>
                <w:b/>
              </w:rPr>
              <w:t>nded</w:t>
            </w:r>
            <w:r w:rsidR="00C33616" w:rsidRPr="00C336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428" w:rsidRPr="00C33616" w:rsidRDefault="00B15428" w:rsidP="00C33616">
            <w:pPr>
              <w:tabs>
                <w:tab w:val="center" w:pos="0"/>
                <w:tab w:val="center" w:pos="2314"/>
                <w:tab w:val="center" w:pos="2849"/>
              </w:tabs>
              <w:ind w:right="-1120"/>
              <w:rPr>
                <w:rFonts w:ascii="Times New Roman" w:hAnsi="Times New Roman" w:cs="Times New Roman"/>
                <w:b/>
              </w:rPr>
            </w:pPr>
            <w:r w:rsidRPr="00C33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33616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C3361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305D" w:rsidTr="00B7305D">
        <w:tc>
          <w:tcPr>
            <w:tcW w:w="471" w:type="dxa"/>
          </w:tcPr>
          <w:p w:rsidR="00C33616" w:rsidRDefault="00C33616" w:rsidP="00B15428">
            <w:pPr>
              <w:ind w:right="-67"/>
            </w:pPr>
          </w:p>
        </w:tc>
        <w:tc>
          <w:tcPr>
            <w:tcW w:w="3219" w:type="dxa"/>
          </w:tcPr>
          <w:p w:rsidR="00C33616" w:rsidRPr="00B15428" w:rsidRDefault="00C33616" w:rsidP="00B15428">
            <w:pPr>
              <w:tabs>
                <w:tab w:val="center" w:pos="0"/>
                <w:tab w:val="center" w:pos="2314"/>
                <w:tab w:val="center" w:pos="2849"/>
              </w:tabs>
              <w:ind w:left="13050" w:right="-1120" w:hanging="127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(Unaudited)/</w:t>
            </w:r>
          </w:p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(Audited)*</w:t>
            </w:r>
          </w:p>
        </w:tc>
        <w:tc>
          <w:tcPr>
            <w:tcW w:w="131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(Unaudited)/</w:t>
            </w:r>
          </w:p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(Audited)*</w:t>
            </w:r>
          </w:p>
        </w:tc>
        <w:tc>
          <w:tcPr>
            <w:tcW w:w="149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(Unaudited)/</w:t>
            </w:r>
          </w:p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(Audited)*</w:t>
            </w:r>
          </w:p>
        </w:tc>
        <w:tc>
          <w:tcPr>
            <w:tcW w:w="1434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(Unaudited)/</w:t>
            </w:r>
          </w:p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(Audited)*</w:t>
            </w:r>
          </w:p>
        </w:tc>
        <w:tc>
          <w:tcPr>
            <w:tcW w:w="1521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(Unaudited)/</w:t>
            </w:r>
          </w:p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>(Audited)*</w:t>
            </w:r>
          </w:p>
        </w:tc>
        <w:tc>
          <w:tcPr>
            <w:tcW w:w="1488" w:type="dxa"/>
          </w:tcPr>
          <w:p w:rsidR="00C33616" w:rsidRPr="00C33616" w:rsidRDefault="00C33616" w:rsidP="00F9228C">
            <w:pPr>
              <w:ind w:right="-1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616">
              <w:rPr>
                <w:rFonts w:ascii="Times New Roman" w:hAnsi="Times New Roman" w:cs="Times New Roman"/>
                <w:sz w:val="20"/>
                <w:szCs w:val="20"/>
              </w:rPr>
              <w:t xml:space="preserve">    (Audited)</w:t>
            </w:r>
          </w:p>
        </w:tc>
      </w:tr>
      <w:tr w:rsidR="00C33616" w:rsidTr="00B7305D">
        <w:tc>
          <w:tcPr>
            <w:tcW w:w="471" w:type="dxa"/>
          </w:tcPr>
          <w:p w:rsidR="00C33616" w:rsidRDefault="00C33616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33616" w:rsidRPr="00B15428" w:rsidRDefault="00C33616" w:rsidP="00B7305D">
            <w:pPr>
              <w:tabs>
                <w:tab w:val="center" w:pos="0"/>
                <w:tab w:val="center" w:pos="2314"/>
                <w:tab w:val="center" w:pos="2849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33616">
              <w:rPr>
                <w:rFonts w:ascii="Times New Roman" w:hAnsi="Times New Roman" w:cs="Times New Roman"/>
              </w:rPr>
              <w:t>Net Income from sales/</w:t>
            </w:r>
            <w:r w:rsidR="00B7305D">
              <w:rPr>
                <w:rFonts w:ascii="Times New Roman" w:hAnsi="Times New Roman" w:cs="Times New Roman"/>
              </w:rPr>
              <w:t xml:space="preserve"> </w:t>
            </w:r>
            <w:r w:rsidRPr="00C33616"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1127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C33616" w:rsidRPr="00C33616" w:rsidRDefault="00C33616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16" w:rsidTr="00B7305D">
        <w:tc>
          <w:tcPr>
            <w:tcW w:w="471" w:type="dxa"/>
          </w:tcPr>
          <w:p w:rsidR="00C33616" w:rsidRDefault="00C33616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33616" w:rsidRPr="00C33616" w:rsidRDefault="00C33616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33616">
              <w:rPr>
                <w:rFonts w:ascii="Times New Roman" w:hAnsi="Times New Roman" w:cs="Times New Roman"/>
              </w:rPr>
              <w:t>Cost of sales/services</w:t>
            </w:r>
          </w:p>
          <w:p w:rsidR="00B7305D" w:rsidRDefault="00C33616" w:rsidP="00B7305D">
            <w:pPr>
              <w:pStyle w:val="ListParagraph"/>
              <w:numPr>
                <w:ilvl w:val="0"/>
                <w:numId w:val="5"/>
              </w:numPr>
              <w:tabs>
                <w:tab w:val="center" w:pos="0"/>
                <w:tab w:val="center" w:pos="2314"/>
                <w:tab w:val="center" w:pos="2849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 xml:space="preserve">Increase/decrease in  stock </w:t>
            </w:r>
          </w:p>
          <w:p w:rsidR="00B7305D" w:rsidRDefault="00C33616" w:rsidP="00B7305D">
            <w:pPr>
              <w:pStyle w:val="ListParagraph"/>
              <w:tabs>
                <w:tab w:val="center" w:pos="0"/>
                <w:tab w:val="center" w:pos="2314"/>
                <w:tab w:val="center" w:pos="2849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 xml:space="preserve"> in  trade  and work in </w:t>
            </w:r>
          </w:p>
          <w:p w:rsidR="00C33616" w:rsidRPr="00B7305D" w:rsidRDefault="00C33616" w:rsidP="00B7305D">
            <w:pPr>
              <w:pStyle w:val="ListParagraph"/>
              <w:tabs>
                <w:tab w:val="center" w:pos="0"/>
                <w:tab w:val="center" w:pos="2314"/>
                <w:tab w:val="center" w:pos="2849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>progress</w:t>
            </w:r>
          </w:p>
          <w:p w:rsidR="00C33616" w:rsidRPr="00B7305D" w:rsidRDefault="00C33616" w:rsidP="00B7305D">
            <w:pPr>
              <w:pStyle w:val="ListParagraph"/>
              <w:numPr>
                <w:ilvl w:val="0"/>
                <w:numId w:val="5"/>
              </w:numPr>
              <w:tabs>
                <w:tab w:val="center" w:pos="0"/>
                <w:tab w:val="center" w:pos="2314"/>
                <w:tab w:val="center" w:pos="2849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>Consumption of raw materials</w:t>
            </w:r>
          </w:p>
          <w:p w:rsidR="00C33616" w:rsidRPr="00B7305D" w:rsidRDefault="00C33616" w:rsidP="00B7305D">
            <w:pPr>
              <w:pStyle w:val="ListParagraph"/>
              <w:numPr>
                <w:ilvl w:val="0"/>
                <w:numId w:val="5"/>
              </w:numPr>
              <w:tabs>
                <w:tab w:val="center" w:pos="0"/>
                <w:tab w:val="center" w:pos="2314"/>
                <w:tab w:val="center" w:pos="2849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>Purchase of traded goods</w:t>
            </w:r>
          </w:p>
          <w:p w:rsidR="00C33616" w:rsidRPr="00B7305D" w:rsidRDefault="00C33616" w:rsidP="00B7305D">
            <w:pPr>
              <w:pStyle w:val="ListParagraph"/>
              <w:numPr>
                <w:ilvl w:val="0"/>
                <w:numId w:val="5"/>
              </w:numPr>
              <w:tabs>
                <w:tab w:val="center" w:pos="0"/>
                <w:tab w:val="center" w:pos="2314"/>
                <w:tab w:val="center" w:pos="3021"/>
              </w:tabs>
              <w:ind w:left="360" w:right="-1120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>Other expenditure</w:t>
            </w:r>
          </w:p>
        </w:tc>
        <w:tc>
          <w:tcPr>
            <w:tcW w:w="1127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C33616" w:rsidRPr="00C33616" w:rsidRDefault="00C33616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C33616" w:rsidRPr="00C33616" w:rsidRDefault="00C33616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33616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B7305D">
              <w:rPr>
                <w:rFonts w:ascii="Times New Roman" w:hAnsi="Times New Roman" w:cs="Times New Roman"/>
              </w:rPr>
              <w:t>Gross Profit (1-2)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B7305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General Administrative Expenses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Selling and Distribution Expenses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Depreciation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Operating Profit before interest </w:t>
            </w:r>
          </w:p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(3) – (4+5+6)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Interest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B7305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Exceptional Items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Operating Profit after interest and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Exceptional Items (7-8-9)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Other Income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Profit (+)/Loss (-)  from Ordinary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Activities</w:t>
            </w:r>
            <w:r w:rsidR="00CE14CD">
              <w:rPr>
                <w:rFonts w:ascii="Times New Roman" w:hAnsi="Times New Roman" w:cs="Times New Roman"/>
              </w:rPr>
              <w:t xml:space="preserve"> </w:t>
            </w:r>
            <w:r w:rsidRPr="00CE14CD">
              <w:rPr>
                <w:rFonts w:ascii="Times New Roman" w:hAnsi="Times New Roman" w:cs="Times New Roman"/>
              </w:rPr>
              <w:t>before tax (10-11)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Tax Expense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Net   Profit   (+)/   Loss   (-)   from</w:t>
            </w:r>
          </w:p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Ordinary</w:t>
            </w:r>
            <w:r w:rsidR="00CE14CD">
              <w:rPr>
                <w:rFonts w:ascii="Times New Roman" w:hAnsi="Times New Roman" w:cs="Times New Roman"/>
              </w:rPr>
              <w:t xml:space="preserve"> </w:t>
            </w:r>
            <w:r w:rsidRPr="00CE14CD">
              <w:rPr>
                <w:rFonts w:ascii="Times New Roman" w:hAnsi="Times New Roman" w:cs="Times New Roman"/>
              </w:rPr>
              <w:t xml:space="preserve">Activities after tax 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(12-13)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Extraordinary items (net of tax 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expense)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Net Profit (+)/ Loss(-) for the 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period (14-15)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Paid-up equity share capital</w:t>
            </w:r>
          </w:p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(Face value of the Share shall be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indicated)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Reserves excluding Revaluation </w:t>
            </w:r>
          </w:p>
          <w:p w:rsid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Reserves (as</w:t>
            </w:r>
            <w:r w:rsidR="00CE14CD">
              <w:rPr>
                <w:rFonts w:ascii="Times New Roman" w:hAnsi="Times New Roman" w:cs="Times New Roman"/>
              </w:rPr>
              <w:t xml:space="preserve"> </w:t>
            </w:r>
            <w:r w:rsidRPr="00CE14CD">
              <w:rPr>
                <w:rFonts w:ascii="Times New Roman" w:hAnsi="Times New Roman" w:cs="Times New Roman"/>
              </w:rPr>
              <w:t>per balance sheet) of</w:t>
            </w:r>
          </w:p>
          <w:p w:rsidR="00B7305D" w:rsidRPr="00CE14CD" w:rsidRDefault="00B7305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lastRenderedPageBreak/>
              <w:t xml:space="preserve"> previous accounting year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5D" w:rsidTr="00B7305D">
        <w:tc>
          <w:tcPr>
            <w:tcW w:w="471" w:type="dxa"/>
          </w:tcPr>
          <w:p w:rsidR="00B7305D" w:rsidRDefault="00B7305D" w:rsidP="00C33616">
            <w:pPr>
              <w:pStyle w:val="ListParagraph"/>
              <w:numPr>
                <w:ilvl w:val="0"/>
                <w:numId w:val="3"/>
              </w:numPr>
              <w:ind w:left="342" w:right="602" w:hanging="342"/>
            </w:pPr>
          </w:p>
        </w:tc>
        <w:tc>
          <w:tcPr>
            <w:tcW w:w="3219" w:type="dxa"/>
          </w:tcPr>
          <w:p w:rsidR="00CE14CD" w:rsidRPr="00CE14CD" w:rsidRDefault="00CE14CD" w:rsidP="00CE14CD">
            <w:pPr>
              <w:tabs>
                <w:tab w:val="center" w:pos="0"/>
                <w:tab w:val="center" w:pos="2314"/>
                <w:tab w:val="center" w:pos="2481"/>
              </w:tabs>
              <w:ind w:left="12798" w:right="-1120" w:hanging="12798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Earnings Per Share (EPS)</w:t>
            </w:r>
          </w:p>
          <w:p w:rsidR="00CE14CD" w:rsidRDefault="00CE14CD" w:rsidP="00CE14CD">
            <w:pPr>
              <w:pStyle w:val="ListParagraph"/>
              <w:numPr>
                <w:ilvl w:val="0"/>
                <w:numId w:val="6"/>
              </w:numPr>
              <w:tabs>
                <w:tab w:val="center" w:pos="0"/>
                <w:tab w:val="center" w:pos="2314"/>
                <w:tab w:val="center" w:pos="2481"/>
              </w:tabs>
              <w:spacing w:before="34"/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Basic     and     diluted   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spacing w:before="34"/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EPS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4CD">
              <w:rPr>
                <w:rFonts w:ascii="Times New Roman" w:hAnsi="Times New Roman" w:cs="Times New Roman"/>
              </w:rPr>
              <w:t>before Extraordinary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spacing w:before="34"/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items for the period, for </w:t>
            </w:r>
          </w:p>
          <w:p w:rsidR="00CE14CD" w:rsidRP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spacing w:before="34"/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the year to date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4CD">
              <w:rPr>
                <w:rFonts w:ascii="Times New Roman" w:hAnsi="Times New Roman" w:cs="Times New Roman"/>
              </w:rPr>
              <w:t>for the previous year (not to be annualized)</w:t>
            </w:r>
          </w:p>
          <w:p w:rsidR="00CE14CD" w:rsidRDefault="00CE14CD" w:rsidP="00CE14CD">
            <w:pPr>
              <w:pStyle w:val="ListParagraph"/>
              <w:numPr>
                <w:ilvl w:val="0"/>
                <w:numId w:val="6"/>
              </w:numPr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Basic and diluted EPS 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after Extraordinary items 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for the period, for the year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 xml:space="preserve"> to date and for the </w:t>
            </w:r>
          </w:p>
          <w:p w:rsid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previous year (not to be</w:t>
            </w:r>
          </w:p>
          <w:p w:rsidR="00B7305D" w:rsidRPr="00CE14CD" w:rsidRDefault="00CE14CD" w:rsidP="00CE14CD">
            <w:pPr>
              <w:pStyle w:val="ListParagraph"/>
              <w:tabs>
                <w:tab w:val="center" w:pos="0"/>
                <w:tab w:val="center" w:pos="2314"/>
                <w:tab w:val="center" w:pos="2481"/>
              </w:tabs>
              <w:ind w:right="-1120"/>
              <w:jc w:val="left"/>
              <w:rPr>
                <w:rFonts w:ascii="Times New Roman" w:hAnsi="Times New Roman" w:cs="Times New Roman"/>
              </w:rPr>
            </w:pPr>
            <w:r w:rsidRPr="00CE14CD">
              <w:rPr>
                <w:rFonts w:ascii="Times New Roman" w:hAnsi="Times New Roman" w:cs="Times New Roman"/>
              </w:rPr>
              <w:t>annualized)</w:t>
            </w:r>
          </w:p>
        </w:tc>
        <w:tc>
          <w:tcPr>
            <w:tcW w:w="1127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05D" w:rsidRPr="00C33616" w:rsidRDefault="00B7305D" w:rsidP="00F9228C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7305D" w:rsidRPr="00C33616" w:rsidRDefault="00B7305D" w:rsidP="00F9228C">
            <w:pPr>
              <w:ind w:right="-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428" w:rsidRDefault="00B15428"/>
    <w:p w:rsidR="00CE14CD" w:rsidRPr="00CE14CD" w:rsidRDefault="00CE14CD" w:rsidP="00CE14CD">
      <w:pPr>
        <w:rPr>
          <w:b/>
        </w:rPr>
      </w:pPr>
      <w:r w:rsidRPr="00CE14CD">
        <w:rPr>
          <w:b/>
        </w:rPr>
        <w:t xml:space="preserve">* </w:t>
      </w:r>
      <w:proofErr w:type="gramStart"/>
      <w:r w:rsidRPr="00CE14CD">
        <w:rPr>
          <w:b/>
        </w:rPr>
        <w:t>strike</w:t>
      </w:r>
      <w:proofErr w:type="gramEnd"/>
      <w:r w:rsidRPr="00CE14CD">
        <w:rPr>
          <w:b/>
        </w:rPr>
        <w:t xml:space="preserve"> off whichever is not applicable</w:t>
      </w:r>
    </w:p>
    <w:p w:rsidR="00CE14CD" w:rsidRPr="00CE14CD" w:rsidRDefault="00CE14CD" w:rsidP="00CE14CD"/>
    <w:p w:rsidR="00CE14CD" w:rsidRDefault="00CE14CD" w:rsidP="00CE14CD">
      <w:pPr>
        <w:rPr>
          <w:b/>
        </w:rPr>
      </w:pPr>
      <w:r w:rsidRPr="00CE14CD">
        <w:rPr>
          <w:b/>
        </w:rPr>
        <w:t>Note:</w:t>
      </w:r>
    </w:p>
    <w:p w:rsidR="00CE14CD" w:rsidRPr="00CE14CD" w:rsidRDefault="00CE14CD" w:rsidP="00CE14CD">
      <w:pPr>
        <w:rPr>
          <w:b/>
        </w:rPr>
      </w:pPr>
    </w:p>
    <w:p w:rsidR="00CE14CD" w:rsidRPr="00B6061D" w:rsidRDefault="00CE14CD" w:rsidP="00CE14CD">
      <w:pPr>
        <w:pStyle w:val="ListParagraph"/>
        <w:numPr>
          <w:ilvl w:val="0"/>
          <w:numId w:val="7"/>
        </w:numPr>
        <w:tabs>
          <w:tab w:val="center" w:pos="10890"/>
        </w:tabs>
        <w:ind w:right="140"/>
        <w:rPr>
          <w:rFonts w:ascii="Times New Roman" w:hAnsi="Times New Roman" w:cs="Times New Roman"/>
        </w:rPr>
      </w:pPr>
      <w:r w:rsidRPr="00B6061D">
        <w:rPr>
          <w:rFonts w:ascii="Times New Roman" w:hAnsi="Times New Roman" w:cs="Times New Roman"/>
        </w:rPr>
        <w:t>Total expenditure incurred on (1) Employee Cost or (2) Any item of expenditure which exceeds 10% of the total expenditure, shall be given as a note.</w:t>
      </w:r>
    </w:p>
    <w:p w:rsidR="00CE14CD" w:rsidRPr="00B6061D" w:rsidRDefault="00CE14CD" w:rsidP="00CE14CD">
      <w:pPr>
        <w:rPr>
          <w:rFonts w:ascii="Times New Roman" w:hAnsi="Times New Roman" w:cs="Times New Roman"/>
        </w:rPr>
      </w:pPr>
    </w:p>
    <w:p w:rsidR="00CE14CD" w:rsidRPr="00B6061D" w:rsidRDefault="00CE14CD" w:rsidP="00CE14CD">
      <w:pPr>
        <w:pStyle w:val="ListParagraph"/>
        <w:numPr>
          <w:ilvl w:val="0"/>
          <w:numId w:val="7"/>
        </w:numPr>
        <w:ind w:right="140"/>
        <w:rPr>
          <w:rFonts w:ascii="Times New Roman" w:hAnsi="Times New Roman" w:cs="Times New Roman"/>
        </w:rPr>
      </w:pPr>
      <w:r w:rsidRPr="00B6061D">
        <w:rPr>
          <w:rFonts w:ascii="Times New Roman" w:hAnsi="Times New Roman" w:cs="Times New Roman"/>
        </w:rPr>
        <w:t xml:space="preserve">A company which presents quarterly financial results in accordance with </w:t>
      </w:r>
      <w:proofErr w:type="spellStart"/>
      <w:r w:rsidRPr="00B6061D">
        <w:rPr>
          <w:rFonts w:ascii="Times New Roman" w:hAnsi="Times New Roman" w:cs="Times New Roman"/>
        </w:rPr>
        <w:t>Ind</w:t>
      </w:r>
      <w:proofErr w:type="spellEnd"/>
      <w:r w:rsidRPr="00B6061D">
        <w:rPr>
          <w:rFonts w:ascii="Times New Roman" w:hAnsi="Times New Roman" w:cs="Times New Roman"/>
        </w:rPr>
        <w:t xml:space="preserve">  AS 34 Interim Financial Reporting (applicable under Companies   (Indian Accounting Standards) Rules, 2015) for the period covered by its first </w:t>
      </w:r>
      <w:proofErr w:type="spellStart"/>
      <w:r w:rsidRPr="00B6061D">
        <w:rPr>
          <w:rFonts w:ascii="Times New Roman" w:hAnsi="Times New Roman" w:cs="Times New Roman"/>
        </w:rPr>
        <w:t>Ind</w:t>
      </w:r>
      <w:proofErr w:type="spellEnd"/>
      <w:r w:rsidRPr="00B6061D">
        <w:rPr>
          <w:rFonts w:ascii="Times New Roman" w:hAnsi="Times New Roman" w:cs="Times New Roman"/>
        </w:rPr>
        <w:t xml:space="preserve"> AS financial statement shall comply with the requirements of paragraph 32 of </w:t>
      </w:r>
      <w:proofErr w:type="spellStart"/>
      <w:r w:rsidRPr="00B6061D">
        <w:rPr>
          <w:rFonts w:ascii="Times New Roman" w:hAnsi="Times New Roman" w:cs="Times New Roman"/>
        </w:rPr>
        <w:t>Ind</w:t>
      </w:r>
      <w:proofErr w:type="spellEnd"/>
      <w:r w:rsidRPr="00B6061D">
        <w:rPr>
          <w:rFonts w:ascii="Times New Roman" w:hAnsi="Times New Roman" w:cs="Times New Roman"/>
        </w:rPr>
        <w:t xml:space="preserve"> AS 101 – First time Adoption of Indian Accounting Standard</w:t>
      </w:r>
    </w:p>
    <w:sectPr w:rsidR="00CE14CD" w:rsidRPr="00B6061D" w:rsidSect="00B15428">
      <w:pgSz w:w="12240" w:h="15840"/>
      <w:pgMar w:top="878" w:right="274" w:bottom="547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56"/>
    <w:multiLevelType w:val="hybridMultilevel"/>
    <w:tmpl w:val="BF42E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16F"/>
    <w:multiLevelType w:val="hybridMultilevel"/>
    <w:tmpl w:val="E5AC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E68A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ED"/>
    <w:multiLevelType w:val="hybridMultilevel"/>
    <w:tmpl w:val="1C38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036F"/>
    <w:multiLevelType w:val="hybridMultilevel"/>
    <w:tmpl w:val="C2908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B3EEB"/>
    <w:multiLevelType w:val="hybridMultilevel"/>
    <w:tmpl w:val="14929B06"/>
    <w:lvl w:ilvl="0" w:tplc="04090017">
      <w:start w:val="1"/>
      <w:numFmt w:val="lowerLetter"/>
      <w:lvlText w:val="%1)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299561B"/>
    <w:multiLevelType w:val="hybridMultilevel"/>
    <w:tmpl w:val="36E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7017"/>
    <w:multiLevelType w:val="hybridMultilevel"/>
    <w:tmpl w:val="D9A8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15428"/>
    <w:rsid w:val="00026A3E"/>
    <w:rsid w:val="00051224"/>
    <w:rsid w:val="0034783C"/>
    <w:rsid w:val="006E5786"/>
    <w:rsid w:val="009F0D9B"/>
    <w:rsid w:val="00B15428"/>
    <w:rsid w:val="00B6061D"/>
    <w:rsid w:val="00B7305D"/>
    <w:rsid w:val="00C33616"/>
    <w:rsid w:val="00CE14CD"/>
    <w:rsid w:val="00E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4</cp:revision>
  <dcterms:created xsi:type="dcterms:W3CDTF">2015-12-08T11:28:00Z</dcterms:created>
  <dcterms:modified xsi:type="dcterms:W3CDTF">2015-12-26T05:43:00Z</dcterms:modified>
</cp:coreProperties>
</file>